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37" w:rsidRDefault="002B3A1A">
      <w:pPr>
        <w:spacing w:line="500" w:lineRule="exact"/>
        <w:jc w:val="center"/>
        <w:rPr>
          <w:rFonts w:ascii="宋体" w:eastAsia="宋体" w:hAnsi="宋体" w:cs="宋体"/>
          <w:b/>
          <w:sz w:val="36"/>
          <w:szCs w:val="36"/>
        </w:rPr>
      </w:pPr>
      <w:r>
        <w:rPr>
          <w:rFonts w:ascii="宋体" w:eastAsia="宋体" w:hAnsi="宋体" w:cs="宋体" w:hint="eastAsia"/>
          <w:b/>
          <w:sz w:val="36"/>
          <w:szCs w:val="36"/>
        </w:rPr>
        <w:t>沈阳机床股份有限公司董事会</w:t>
      </w:r>
    </w:p>
    <w:p w:rsidR="00972637" w:rsidRDefault="002B3A1A">
      <w:pPr>
        <w:spacing w:line="500" w:lineRule="exact"/>
        <w:jc w:val="center"/>
      </w:pPr>
      <w:r>
        <w:rPr>
          <w:rFonts w:ascii="宋体" w:eastAsia="宋体" w:hAnsi="宋体" w:cs="宋体" w:hint="eastAsia"/>
          <w:b/>
          <w:sz w:val="36"/>
          <w:szCs w:val="36"/>
        </w:rPr>
        <w:t>关于本次重组相关主体不存在《上市公司监管指引第</w:t>
      </w:r>
      <w:r>
        <w:rPr>
          <w:rFonts w:ascii="宋体" w:eastAsia="宋体" w:hAnsi="宋体" w:cs="宋体"/>
          <w:b/>
          <w:sz w:val="36"/>
          <w:szCs w:val="36"/>
        </w:rPr>
        <w:t>7号—上市公司重大资产重组相关股票异常交易监管》第十二条情形的说明</w:t>
      </w:r>
    </w:p>
    <w:p w:rsidR="00972637" w:rsidRDefault="00972637">
      <w:pPr>
        <w:spacing w:line="400" w:lineRule="exact"/>
        <w:ind w:firstLineChars="200" w:firstLine="480"/>
        <w:rPr>
          <w:rFonts w:ascii="楷体_GB2312" w:eastAsia="楷体_GB2312" w:hAnsi="仿宋" w:cs="Times New Roman"/>
          <w:sz w:val="24"/>
          <w:szCs w:val="24"/>
        </w:rPr>
      </w:pPr>
    </w:p>
    <w:p w:rsidR="00972637" w:rsidRDefault="002B3A1A">
      <w:pPr>
        <w:pStyle w:val="Default"/>
        <w:spacing w:line="500" w:lineRule="exact"/>
        <w:ind w:firstLineChars="200" w:firstLine="640"/>
        <w:jc w:val="both"/>
        <w:rPr>
          <w:rFonts w:ascii="仿宋" w:eastAsia="仿宋" w:hAnsi="仿宋"/>
          <w:sz w:val="32"/>
          <w:szCs w:val="32"/>
        </w:rPr>
      </w:pPr>
      <w:r>
        <w:rPr>
          <w:rFonts w:ascii="仿宋" w:eastAsia="仿宋" w:hAnsi="仿宋" w:hint="eastAsia"/>
          <w:sz w:val="32"/>
          <w:szCs w:val="32"/>
        </w:rPr>
        <w:t>沈阳机床股份有限公司（以下简称“公司”、“上市公司”）拟发行股份购买通用技术集团沈阳机床有限责任公司持有的沈阳机床中捷友谊厂有限公司1</w:t>
      </w:r>
      <w:r>
        <w:rPr>
          <w:rFonts w:ascii="仿宋" w:eastAsia="仿宋" w:hAnsi="仿宋"/>
          <w:sz w:val="32"/>
          <w:szCs w:val="32"/>
        </w:rPr>
        <w:t>00</w:t>
      </w:r>
      <w:r>
        <w:rPr>
          <w:rFonts w:ascii="仿宋" w:eastAsia="仿宋" w:hAnsi="仿宋" w:hint="eastAsia"/>
          <w:sz w:val="32"/>
          <w:szCs w:val="32"/>
        </w:rPr>
        <w:t>%股权、沈阳中捷航空航天机床有限公司1</w:t>
      </w:r>
      <w:r>
        <w:rPr>
          <w:rFonts w:ascii="仿宋" w:eastAsia="仿宋" w:hAnsi="仿宋"/>
          <w:sz w:val="32"/>
          <w:szCs w:val="32"/>
        </w:rPr>
        <w:t>00</w:t>
      </w:r>
      <w:r>
        <w:rPr>
          <w:rFonts w:ascii="仿宋" w:eastAsia="仿宋" w:hAnsi="仿宋" w:hint="eastAsia"/>
          <w:sz w:val="32"/>
          <w:szCs w:val="32"/>
        </w:rPr>
        <w:t>%股权和通用技术集团机床有限公司持有的天津市天锻压力机有限公司</w:t>
      </w:r>
      <w:r>
        <w:rPr>
          <w:rFonts w:ascii="仿宋" w:eastAsia="仿宋" w:hAnsi="仿宋"/>
          <w:sz w:val="32"/>
          <w:szCs w:val="32"/>
        </w:rPr>
        <w:t>78.45</w:t>
      </w:r>
      <w:r>
        <w:rPr>
          <w:rFonts w:ascii="仿宋" w:eastAsia="仿宋" w:hAnsi="仿宋" w:hint="eastAsia"/>
          <w:sz w:val="32"/>
          <w:szCs w:val="32"/>
        </w:rPr>
        <w:t>%股权并同步募集配套资金（以下简称“本次重组”）。</w:t>
      </w:r>
    </w:p>
    <w:p w:rsidR="00972637" w:rsidRDefault="002B3A1A">
      <w:pPr>
        <w:pStyle w:val="Default"/>
        <w:spacing w:line="500" w:lineRule="exact"/>
        <w:ind w:firstLineChars="200" w:firstLine="640"/>
        <w:jc w:val="both"/>
        <w:rPr>
          <w:rFonts w:ascii="仿宋" w:eastAsia="仿宋" w:hAnsi="仿宋"/>
          <w:sz w:val="32"/>
          <w:szCs w:val="32"/>
        </w:rPr>
      </w:pPr>
      <w:r>
        <w:rPr>
          <w:rFonts w:ascii="仿宋" w:eastAsia="仿宋" w:hAnsi="仿宋" w:hint="eastAsia"/>
          <w:sz w:val="32"/>
          <w:szCs w:val="32"/>
        </w:rPr>
        <w:t>根据《上市公司监管指引第</w:t>
      </w:r>
      <w:r>
        <w:rPr>
          <w:rFonts w:ascii="仿宋" w:eastAsia="仿宋" w:hAnsi="仿宋"/>
          <w:sz w:val="32"/>
          <w:szCs w:val="32"/>
        </w:rPr>
        <w:t>7号——上市公司重大资产重组相关股票异常交易监管》第十二条的规定，上市公司董事会就本次交易相关主体是否存在不得参与任何上市公司重大资产重组情形作出如下说明：</w:t>
      </w:r>
    </w:p>
    <w:p w:rsidR="00972637" w:rsidRDefault="002B3A1A">
      <w:pPr>
        <w:pStyle w:val="Default"/>
        <w:spacing w:line="500" w:lineRule="exact"/>
        <w:ind w:firstLineChars="200" w:firstLine="640"/>
        <w:jc w:val="both"/>
        <w:rPr>
          <w:rFonts w:ascii="仿宋" w:eastAsia="仿宋" w:hAnsi="仿宋"/>
          <w:sz w:val="32"/>
          <w:szCs w:val="32"/>
        </w:rPr>
      </w:pPr>
      <w:r>
        <w:rPr>
          <w:rFonts w:ascii="仿宋" w:eastAsia="仿宋" w:hAnsi="仿宋" w:hint="eastAsia"/>
          <w:sz w:val="32"/>
          <w:szCs w:val="32"/>
        </w:rPr>
        <w:t>本次重组相关主体（包括公司及其董事、监事、高级管理人员，公司控股股东及其董事、监事、高级管理人员，公司控股股东控制的机构，交易对方及其董事、监事、高级管理人员，交易对方控股股东及上述主体控制的机构，为本次重组提供服务的证券公司、证券服务机构及其经办人员，以及参与本次重组的其他主体）不存在因涉嫌本次重组相关的内幕交易被立案调查或者立案侦查的情况，最近</w:t>
      </w:r>
      <w:r>
        <w:rPr>
          <w:rFonts w:ascii="仿宋" w:eastAsia="仿宋" w:hAnsi="仿宋"/>
          <w:sz w:val="32"/>
          <w:szCs w:val="32"/>
        </w:rPr>
        <w:t>36个月内不存在因与重大资产重组相关的内幕交易被中国证监会作出行政处罚或者被司法机关依法追究刑事责任的情况。</w:t>
      </w:r>
    </w:p>
    <w:p w:rsidR="00972637" w:rsidRDefault="00972637">
      <w:pPr>
        <w:pStyle w:val="Default"/>
        <w:spacing w:line="500" w:lineRule="exact"/>
        <w:ind w:firstLineChars="200" w:firstLine="640"/>
        <w:jc w:val="both"/>
        <w:rPr>
          <w:rFonts w:ascii="仿宋" w:eastAsia="仿宋" w:hAnsi="仿宋"/>
          <w:sz w:val="32"/>
          <w:szCs w:val="32"/>
        </w:rPr>
      </w:pPr>
    </w:p>
    <w:p w:rsidR="003B59A9" w:rsidRDefault="003B59A9">
      <w:pPr>
        <w:widowControl/>
        <w:jc w:val="left"/>
        <w:rPr>
          <w:rFonts w:ascii="仿宋" w:eastAsia="仿宋" w:hAnsi="仿宋" w:cs="仿宋"/>
          <w:sz w:val="32"/>
          <w:szCs w:val="32"/>
        </w:rPr>
      </w:pPr>
      <w:r>
        <w:rPr>
          <w:rFonts w:ascii="仿宋" w:eastAsia="仿宋" w:hAnsi="仿宋" w:cs="仿宋"/>
          <w:sz w:val="32"/>
          <w:szCs w:val="32"/>
        </w:rPr>
        <w:br w:type="page"/>
      </w:r>
      <w:bookmarkStart w:id="0" w:name="_GoBack"/>
      <w:bookmarkEnd w:id="0"/>
    </w:p>
    <w:p w:rsidR="00972637" w:rsidRDefault="003B59A9">
      <w:pPr>
        <w:spacing w:line="500" w:lineRule="exact"/>
        <w:jc w:val="right"/>
        <w:rPr>
          <w:rFonts w:ascii="仿宋" w:eastAsia="仿宋" w:hAnsi="仿宋" w:cs="仿宋"/>
          <w:sz w:val="32"/>
          <w:szCs w:val="32"/>
        </w:rPr>
      </w:pPr>
      <w:r>
        <w:rPr>
          <w:rFonts w:ascii="仿宋" w:eastAsia="仿宋" w:hAnsi="仿宋" w:cs="仿宋" w:hint="eastAsia"/>
          <w:noProof/>
          <w:sz w:val="32"/>
          <w:szCs w:val="32"/>
        </w:rPr>
        <w:lastRenderedPageBreak/>
        <w:drawing>
          <wp:anchor distT="0" distB="0" distL="114300" distR="114300" simplePos="0" relativeHeight="251658240" behindDoc="0" locked="0" layoutInCell="1" allowOverlap="1" wp14:anchorId="1B14339A" wp14:editId="710C4E45">
            <wp:simplePos x="0" y="0"/>
            <wp:positionH relativeFrom="column">
              <wp:posOffset>-1162050</wp:posOffset>
            </wp:positionH>
            <wp:positionV relativeFrom="paragraph">
              <wp:posOffset>-85725</wp:posOffset>
            </wp:positionV>
            <wp:extent cx="7561472" cy="8677275"/>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上市公司：沈阳机床签字页_页面_36.jpg"/>
                    <pic:cNvPicPr/>
                  </pic:nvPicPr>
                  <pic:blipFill rotWithShape="1">
                    <a:blip r:embed="rId7">
                      <a:extLst>
                        <a:ext uri="{28A0092B-C50C-407E-A947-70E740481C1C}">
                          <a14:useLocalDpi xmlns:a14="http://schemas.microsoft.com/office/drawing/2010/main" val="0"/>
                        </a:ext>
                      </a:extLst>
                    </a:blip>
                    <a:srcRect t="7843" b="10962"/>
                    <a:stretch/>
                  </pic:blipFill>
                  <pic:spPr bwMode="auto">
                    <a:xfrm>
                      <a:off x="0" y="0"/>
                      <a:ext cx="7559675" cy="86752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A1A">
        <w:rPr>
          <w:rFonts w:ascii="仿宋" w:eastAsia="仿宋" w:hAnsi="仿宋" w:cs="仿宋" w:hint="eastAsia"/>
          <w:sz w:val="32"/>
          <w:szCs w:val="32"/>
        </w:rPr>
        <w:t>沈阳机床股份有限公司</w:t>
      </w:r>
    </w:p>
    <w:p w:rsidR="00972637" w:rsidRDefault="002B3A1A">
      <w:pPr>
        <w:wordWrap w:val="0"/>
        <w:spacing w:line="500" w:lineRule="exact"/>
        <w:jc w:val="right"/>
        <w:rPr>
          <w:rFonts w:eastAsia="仿宋" w:cs="Times New Roman"/>
          <w:szCs w:val="28"/>
        </w:rPr>
      </w:pPr>
      <w:r>
        <w:rPr>
          <w:rFonts w:ascii="仿宋" w:eastAsia="仿宋" w:hAnsi="仿宋" w:cs="仿宋" w:hint="eastAsia"/>
          <w:sz w:val="32"/>
          <w:szCs w:val="32"/>
        </w:rPr>
        <w:t xml:space="preserve">2024年4月1日   </w:t>
      </w:r>
    </w:p>
    <w:sectPr w:rsidR="0097263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C3" w:rsidRDefault="00C15CC3" w:rsidP="003B59A9">
      <w:r>
        <w:separator/>
      </w:r>
    </w:p>
  </w:endnote>
  <w:endnote w:type="continuationSeparator" w:id="0">
    <w:p w:rsidR="00C15CC3" w:rsidRDefault="00C15CC3" w:rsidP="003B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0A" w:rsidRPr="00D2230A" w:rsidRDefault="00D2230A" w:rsidP="00D2230A">
    <w:pPr>
      <w:pStyle w:val="a3"/>
      <w:jc w:val="center"/>
      <w:rPr>
        <w:rFonts w:ascii="Times New Roman" w:hAnsi="Times New Roman" w:cs="Times New Roman"/>
        <w:sz w:val="21"/>
        <w:szCs w:val="21"/>
      </w:rPr>
    </w:pPr>
    <w:r w:rsidRPr="00D2230A">
      <w:rPr>
        <w:rFonts w:ascii="Times New Roman" w:hAnsi="Times New Roman" w:cs="Times New Roman"/>
        <w:sz w:val="21"/>
        <w:szCs w:val="21"/>
      </w:rPr>
      <w:fldChar w:fldCharType="begin"/>
    </w:r>
    <w:r w:rsidRPr="00D2230A">
      <w:rPr>
        <w:rFonts w:ascii="Times New Roman" w:hAnsi="Times New Roman" w:cs="Times New Roman"/>
        <w:sz w:val="21"/>
        <w:szCs w:val="21"/>
      </w:rPr>
      <w:instrText>PAGE   \* MERGEFORMAT</w:instrText>
    </w:r>
    <w:r w:rsidRPr="00D2230A">
      <w:rPr>
        <w:rFonts w:ascii="Times New Roman" w:hAnsi="Times New Roman" w:cs="Times New Roman"/>
        <w:sz w:val="21"/>
        <w:szCs w:val="21"/>
      </w:rPr>
      <w:fldChar w:fldCharType="separate"/>
    </w:r>
    <w:r w:rsidR="00C15CC3" w:rsidRPr="00C15CC3">
      <w:rPr>
        <w:rFonts w:ascii="Times New Roman" w:hAnsi="Times New Roman" w:cs="Times New Roman"/>
        <w:noProof/>
        <w:sz w:val="21"/>
        <w:szCs w:val="21"/>
        <w:lang w:val="zh-CN"/>
      </w:rPr>
      <w:t>1</w:t>
    </w:r>
    <w:r w:rsidRPr="00D2230A">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C3" w:rsidRDefault="00C15CC3" w:rsidP="003B59A9">
      <w:r>
        <w:separator/>
      </w:r>
    </w:p>
  </w:footnote>
  <w:footnote w:type="continuationSeparator" w:id="0">
    <w:p w:rsidR="00C15CC3" w:rsidRDefault="00C15CC3" w:rsidP="003B5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MzJjNDMwZTgxZDZlNDI3MjEzMjg5NDBlMGFhMjgifQ=="/>
  </w:docVars>
  <w:rsids>
    <w:rsidRoot w:val="00240367"/>
    <w:rsid w:val="00177F12"/>
    <w:rsid w:val="00240367"/>
    <w:rsid w:val="00276C4F"/>
    <w:rsid w:val="002B3A1A"/>
    <w:rsid w:val="002F095B"/>
    <w:rsid w:val="003B59A9"/>
    <w:rsid w:val="004819A4"/>
    <w:rsid w:val="004E08CC"/>
    <w:rsid w:val="005160C4"/>
    <w:rsid w:val="005B0331"/>
    <w:rsid w:val="00651B16"/>
    <w:rsid w:val="00656605"/>
    <w:rsid w:val="00846BE9"/>
    <w:rsid w:val="00851B96"/>
    <w:rsid w:val="00972637"/>
    <w:rsid w:val="009E4715"/>
    <w:rsid w:val="00AA70C5"/>
    <w:rsid w:val="00BA7A06"/>
    <w:rsid w:val="00C15CC3"/>
    <w:rsid w:val="00D2230A"/>
    <w:rsid w:val="00D65451"/>
    <w:rsid w:val="00DE602C"/>
    <w:rsid w:val="00E93CB2"/>
    <w:rsid w:val="00EB1E5E"/>
    <w:rsid w:val="00FD069B"/>
    <w:rsid w:val="00FF0F2A"/>
    <w:rsid w:val="03282970"/>
    <w:rsid w:val="15041266"/>
    <w:rsid w:val="20E524F0"/>
    <w:rsid w:val="293D7C9D"/>
    <w:rsid w:val="360E118A"/>
    <w:rsid w:val="3EF225CC"/>
    <w:rsid w:val="4217305D"/>
    <w:rsid w:val="44B434BA"/>
    <w:rsid w:val="4986716F"/>
    <w:rsid w:val="6A9A5F35"/>
    <w:rsid w:val="78A80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dc:creator>
  <cp:lastModifiedBy>win10</cp:lastModifiedBy>
  <cp:revision>6</cp:revision>
  <cp:lastPrinted>2024-04-01T09:58:00Z</cp:lastPrinted>
  <dcterms:created xsi:type="dcterms:W3CDTF">2023-12-13T11:49:00Z</dcterms:created>
  <dcterms:modified xsi:type="dcterms:W3CDTF">2024-04-01T09:58:00Z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8DAC6F7CFDE34526A5496D282EB82F9E</vt:lpwstr>
  </property>
</Properties>
</file>